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61" w:rsidRDefault="00574E61" w:rsidP="00574E61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</w:pPr>
      <w:r w:rsidRPr="00574E61"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>Глаз. Оптические приборы.</w:t>
      </w:r>
    </w:p>
    <w:p w:rsidR="00574E61" w:rsidRPr="00574E61" w:rsidRDefault="00574E61" w:rsidP="00574E61">
      <w:pPr>
        <w:shd w:val="clear" w:color="auto" w:fill="FFFFFF"/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5"/>
          <w:szCs w:val="55"/>
          <w:lang w:eastAsia="ru-RU"/>
        </w:rPr>
        <w:t>Студенты пишут конспект.</w:t>
      </w:r>
      <w:bookmarkStart w:id="0" w:name="_GoBack"/>
      <w:bookmarkEnd w:id="0"/>
    </w:p>
    <w:tbl>
      <w:tblPr>
        <w:tblW w:w="97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2"/>
        <w:gridCol w:w="2518"/>
      </w:tblGrid>
      <w:tr w:rsidR="00574E61" w:rsidRPr="00574E61" w:rsidTr="00574E61">
        <w:trPr>
          <w:jc w:val="center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Глаз</w:t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Глаз — это система линз. Диаметр глаза ≈ 23 мм. Через глаз мы получаем до 90% информации.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Состоит из склеры 1 (за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softHyphen/>
              <w:t>щитная оболочка из эластичной ткани), роговицы. 1, каме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softHyphen/>
              <w:t>ры 3 (полость, заполненная прозрачной жидкостью), сосудистой оболочки 4, радужной оболочки 5, зрачка 6 (d от 2 до 8 мм), хрусталика 7 (n=1,44), мышц, изменяющих оптические свойства глаза </w:t>
            </w:r>
            <w:proofErr w:type="gram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8,прозрачной</w:t>
            </w:r>
            <w:proofErr w:type="gram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студенистой массы 9 (глазное дно), сетчатки 10 (7 млн. колбочек, 130 млн. палочек, которые реагируют на свет разной частоты неодинаково), разветвлений зрительного нерва 11.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1209675"/>
                  <wp:effectExtent l="0" t="0" r="0" b="9525"/>
                  <wp:docPr id="11" name="Рисунок 11" descr="Глаз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з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Основные </w:t>
            </w:r>
            <w:proofErr w:type="gram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свойства  и</w:t>
            </w:r>
            <w:proofErr w:type="gram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оптические характеристики глаза: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Аккомодация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—свойство глаза, обеспечивающее четкое </w:t>
            </w:r>
            <w:proofErr w:type="spell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восприятиеразноудаленных</w:t>
            </w:r>
            <w:proofErr w:type="spell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предметов. Изменяется главный фокус глаза от 16 до13 мм. Оптическая сила глаза от 60 до 75 </w:t>
            </w:r>
            <w:proofErr w:type="spell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дптр</w:t>
            </w:r>
            <w:proofErr w:type="spell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Предельный угол зрения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(φ=1') c приближением предмета увеличивается угол зрения, под которым мы видим две близкие точки предмета.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Адаптация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—приспосабливаемость к различным условиям освещенности: диаметр зрачка меняется от 2 до 8 мм.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Поле зрения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: по оси ОХ 150°, по оси OY 125°. Спектральная чувствительность от 380 до 760 </w:t>
            </w:r>
            <w:proofErr w:type="spell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нм</w:t>
            </w:r>
            <w:proofErr w:type="spell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Самая большая чувствительность 555 </w:t>
            </w:r>
            <w:proofErr w:type="spell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нм</w:t>
            </w:r>
            <w:proofErr w:type="spell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(зеленый цвет).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Острота зрения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— свойство глаза раздельно различать две близкие точки.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Расстояние наилучшего зрения d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vertAlign w:val="subscript"/>
                <w:lang w:eastAsia="ru-RU"/>
              </w:rPr>
              <w:t>0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=250 мм. Дальние предметы глаз видит без напряжения.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28750" cy="581025"/>
                  <wp:effectExtent l="0" t="0" r="0" b="9525"/>
                  <wp:docPr id="10" name="Рисунок 10" descr="Глаз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лаз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Дефекты зрения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: глаз не может создать резкое изображение на сетчатке.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Дальнозоркость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— дефект зрения, состоящий в том, что изоб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softHyphen/>
              <w:t>ражение предмета в ненапряженном состоянии глаза получается за сетчаткой. При рассматривании близких предметов предел аккомодации исчерпывается при расстояниях больше 25 см. Исправляется ношением очков с собирающими линзами.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38250" cy="981075"/>
                  <wp:effectExtent l="0" t="0" r="0" b="9525"/>
                  <wp:docPr id="9" name="Рисунок 9" descr="Дальнозоркос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альнозоркос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Близорукость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— дефект зрения, при котором глаз в ненапряженном состоянии создает изображение удаленного предмета не на сетчатке, а перед ней, т. е. не может видеть удаленные предметы. 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u w:val="single"/>
                <w:lang w:eastAsia="ru-RU"/>
              </w:rPr>
              <w:t>Исправляется ношением очков с рассеивающими линзами.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990600"/>
                  <wp:effectExtent l="0" t="0" r="9525" b="0"/>
                  <wp:docPr id="8" name="Рисунок 8" descr="Близорук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лизору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Подбор очков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14600" cy="581025"/>
                  <wp:effectExtent l="0" t="0" r="0" b="9525"/>
                  <wp:docPr id="7" name="Рисунок 7" descr="Подбор оч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бор оч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E61" w:rsidRPr="00574E61" w:rsidRDefault="00574E61" w:rsidP="00574E61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где 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f 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 глубина глаза; </w:t>
            </w:r>
            <w:proofErr w:type="spellStart"/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d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гл</w:t>
            </w:r>
            <w:proofErr w:type="spellEnd"/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 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- р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асстояние, на которое видит глаз без очков; 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d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0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=25 см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— расстояние наилучшего зрения глаза;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000125" cy="428625"/>
                  <wp:effectExtent l="0" t="0" r="9525" b="9525"/>
                  <wp:docPr id="6" name="Рисунок 6" descr="Подбор оч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бор оч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Близорукость и дальнозоркость могут быть исправлены с по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softHyphen/>
              <w:t>мощью современной хирургии по изменению формы роговицы или хрусталика, а также подбором контактных линз.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Оптические приборы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ind w:left="260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Лупа</w:t>
            </w:r>
          </w:p>
          <w:p w:rsidR="00574E61" w:rsidRPr="00574E61" w:rsidRDefault="00574E61" w:rsidP="00574E61">
            <w:pPr>
              <w:spacing w:after="36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Увеличить угол зрения можно, используя лупу, микро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softHyphen/>
              <w:t>скоп:</w:t>
            </w:r>
          </w:p>
          <w:p w:rsidR="00574E61" w:rsidRPr="00574E61" w:rsidRDefault="00574E61" w:rsidP="00574E61">
            <w:pPr>
              <w:spacing w:after="360" w:line="312" w:lineRule="atLeast"/>
              <w:ind w:left="620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57300" cy="485775"/>
                  <wp:effectExtent l="0" t="0" r="0" b="9525"/>
                  <wp:docPr id="5" name="Рисунок 5" descr="Увеличить угол зрения можно, используя лупу, микро­ск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величить угол зрения можно, используя лупу, микро­ск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E61" w:rsidRPr="00574E61" w:rsidRDefault="00574E61" w:rsidP="00574E61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Так как 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OB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2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=d</w:t>
            </w:r>
            <w:proofErr w:type="gramStart"/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0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,,</w:t>
            </w:r>
            <w:proofErr w:type="gram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a 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OB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vertAlign w:val="subscript"/>
                <w:lang w:eastAsia="ru-RU"/>
              </w:rPr>
              <w:t>1</w:t>
            </w: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≈ F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то </w:t>
            </w:r>
            <w:r w:rsidRPr="00574E61">
              <w:rPr>
                <w:rFonts w:ascii="inherit" w:eastAsia="Times New Roman" w:hAnsi="inherit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95300" cy="390525"/>
                  <wp:effectExtent l="0" t="0" r="0" b="9525"/>
                  <wp:docPr id="4" name="Рисунок 4" descr="Оптические приб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тические приб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38250" cy="1019175"/>
                  <wp:effectExtent l="0" t="0" r="0" b="9525"/>
                  <wp:docPr id="3" name="Рисунок 3" descr="Оптические приборы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тические приборы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Фотоаппарат (1837)</w:t>
            </w:r>
          </w:p>
          <w:p w:rsidR="00574E61" w:rsidRPr="00574E61" w:rsidRDefault="00574E61" w:rsidP="00574E61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 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— светонепроницаемая камера;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 объектив (может </w:t>
            </w:r>
            <w:proofErr w:type="gramStart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перемещаться  относительно</w:t>
            </w:r>
            <w:proofErr w:type="gramEnd"/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пленки); /7 — пленка или светочувствительная пластина;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ВА 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предмет;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изображение. Как и в глазу, в фотоаппарате получается действительное, перевернутое, уменьшенное изображение. Основное отличие заключается в том, что фокусное расстояние зрачка меняется (аккомодация), а у фотоаппарата меняется расстояние от линзы до изображения.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90650" cy="695325"/>
                  <wp:effectExtent l="0" t="0" r="0" b="9525"/>
                  <wp:docPr id="2" name="Рисунок 2" descr="Фотоаппарат (1837)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аппарат (1837)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61" w:rsidRPr="00574E61" w:rsidTr="00574E61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36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Проекционный аппарат</w:t>
            </w:r>
          </w:p>
          <w:p w:rsidR="00574E61" w:rsidRPr="00574E61" w:rsidRDefault="00574E61" w:rsidP="00574E61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lastRenderedPageBreak/>
              <w:t>S 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 источник света;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R 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рефлектор (вогнутое зеркало).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конденсатор (плосковыпуклые линзы), собирает лучи в пучок;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D 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прозрачный диапозитив;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 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—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объектив, расположенный в фокусе конденсатора, который проецирует освещенный диапозитив на экран. Для получения четкого изображения на экране диапозитив помещают от объектива на расстоянии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d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, 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удовлетворяющем условию: </w:t>
            </w:r>
            <w:proofErr w:type="gramStart"/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F&lt;</w:t>
            </w:r>
            <w:proofErr w:type="gramEnd"/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.d&lt;2F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574E61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Чем дальше экран, тем больше </w:t>
            </w:r>
            <w:r w:rsidRPr="00574E61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d</w:t>
            </w:r>
            <w:r w:rsidRPr="00574E61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74E61" w:rsidRPr="00574E61" w:rsidRDefault="00574E61" w:rsidP="00574E6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574E61">
              <w:rPr>
                <w:rFonts w:ascii="inherit" w:eastAsia="Times New Roman" w:hAnsi="inherit" w:cs="Times New Roman"/>
                <w:noProof/>
                <w:color w:val="156AA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1390650" cy="466725"/>
                  <wp:effectExtent l="0" t="0" r="0" b="9525"/>
                  <wp:docPr id="1" name="Рисунок 1" descr="Проекционный аппарат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екционный аппарат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33" w:rsidRDefault="00437E33"/>
    <w:sectPr w:rsidR="0043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0B"/>
    <w:rsid w:val="00437E33"/>
    <w:rsid w:val="00574E61"/>
    <w:rsid w:val="00A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F33B-6A51-457B-8C1A-A32DC73A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E61"/>
    <w:rPr>
      <w:b/>
      <w:bCs/>
    </w:rPr>
  </w:style>
  <w:style w:type="character" w:styleId="a5">
    <w:name w:val="Emphasis"/>
    <w:basedOn w:val="a0"/>
    <w:uiPriority w:val="20"/>
    <w:qFormat/>
    <w:rsid w:val="00574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3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spb.com/public/img/formula/image005_20.png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17" Type="http://schemas.openxmlformats.org/officeDocument/2006/relationships/hyperlink" Target="https://www.eduspb.com/public/img/formula/image019_1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ww.eduspb.com/public/img/formula/image003_29.png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hyperlink" Target="https://www.eduspb.com/public/img/formula/image017_16.png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www.eduspb.com/public/img/formula/image021_9.png" TargetMode="External"/><Relationship Id="rId4" Type="http://schemas.openxmlformats.org/officeDocument/2006/relationships/hyperlink" Target="https://www.eduspb.com/public/img/formula/image001_31.png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2020-03-20T04:53:00Z</dcterms:created>
  <dcterms:modified xsi:type="dcterms:W3CDTF">2020-03-20T04:54:00Z</dcterms:modified>
</cp:coreProperties>
</file>